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E010A" w14:textId="77777777" w:rsidR="00771EE5" w:rsidRDefault="00771EE5" w:rsidP="00771EE5">
      <w:pPr>
        <w:jc w:val="center"/>
        <w:rPr>
          <w:sz w:val="24"/>
          <w:szCs w:val="22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HU</w:t>
      </w:r>
    </w:p>
    <w:p w14:paraId="22FD1957" w14:textId="77777777" w:rsidR="00441DF2" w:rsidRPr="00037E7B" w:rsidRDefault="00441DF2" w:rsidP="00771EE5">
      <w:pPr>
        <w:rPr>
          <w:rFonts w:ascii="Times New Roman" w:hAnsi="Times New Roman"/>
          <w:sz w:val="24"/>
        </w:rPr>
      </w:pPr>
    </w:p>
    <w:p w14:paraId="62C1E171" w14:textId="77777777" w:rsidR="00441DF2" w:rsidRPr="00037E7B" w:rsidRDefault="00441DF2" w:rsidP="00441DF2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II. MELLÉKLET</w:t>
      </w:r>
    </w:p>
    <w:p w14:paraId="42F286CA" w14:textId="77777777" w:rsidR="00441DF2" w:rsidRPr="00037E7B" w:rsidRDefault="00441DF2" w:rsidP="00441DF2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„II. MELLÉKLET</w:t>
      </w:r>
    </w:p>
    <w:p w14:paraId="6D29CBF2" w14:textId="77777777" w:rsidR="00441DF2" w:rsidRPr="00037E7B" w:rsidRDefault="00441DF2" w:rsidP="00441DF2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ÚTMUTATÓ A SZAVATOLÓTŐKÉRE ÉS A SZAVATOLÓTŐKE-KÖVETELMÉNYEKRE VONATKOZÓ ADATSZOLGÁLTATÁSHOZ</w:t>
      </w:r>
    </w:p>
    <w:p w14:paraId="7781F793" w14:textId="77777777" w:rsidR="00441DF2" w:rsidRPr="00037E7B" w:rsidRDefault="00441DF2" w:rsidP="00441DF2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5003BB90" w14:textId="77777777" w:rsidR="00441DF2" w:rsidRPr="00037E7B" w:rsidRDefault="00441DF2" w:rsidP="00441DF2">
      <w:pPr>
        <w:rPr>
          <w:rFonts w:ascii="Times New Roman" w:hAnsi="Times New Roman"/>
          <w:sz w:val="24"/>
        </w:rPr>
      </w:pPr>
    </w:p>
    <w:p w14:paraId="3A3F5236" w14:textId="77777777" w:rsidR="00441DF2" w:rsidRPr="00F7533E" w:rsidRDefault="00441DF2" w:rsidP="00441DF2">
      <w:pPr>
        <w:pStyle w:val="Heading2"/>
        <w:rPr>
          <w:b/>
          <w:bCs/>
          <w:color w:val="000000" w:themeColor="text1"/>
          <w:sz w:val="24"/>
          <w:szCs w:val="24"/>
          <w:u w:val="single"/>
          <w:rFonts w:ascii="Times New Roman" w:hAnsi="Times New Roman"/>
        </w:rPr>
      </w:pPr>
      <w:bookmarkStart w:id="0" w:name="_Toc360188322"/>
      <w:bookmarkStart w:id="1" w:name="_Toc473560870"/>
      <w:bookmarkStart w:id="2" w:name="_Toc151714358"/>
      <w:r>
        <w:rPr>
          <w:b/>
          <w:color w:val="000000" w:themeColor="text1"/>
          <w:sz w:val="24"/>
          <w:u w:val="single"/>
          <w:rFonts w:ascii="Times New Roman" w:hAnsi="Times New Roman"/>
        </w:rPr>
        <w:t xml:space="preserve">II. RÉSZ:</w:t>
      </w:r>
      <w:r>
        <w:rPr>
          <w:b/>
          <w:color w:val="000000" w:themeColor="text1"/>
          <w:sz w:val="24"/>
          <w:u w:val="single"/>
          <w:rFonts w:ascii="Times New Roman" w:hAnsi="Times New Roman"/>
        </w:rPr>
        <w:t xml:space="preserve"> </w:t>
      </w:r>
      <w:r>
        <w:rPr>
          <w:b/>
          <w:color w:val="000000" w:themeColor="text1"/>
          <w:sz w:val="24"/>
          <w:u w:val="single"/>
          <w:rFonts w:ascii="Times New Roman" w:hAnsi="Times New Roman"/>
        </w:rPr>
        <w:t xml:space="preserve">TÁBLASPECIFIKUS ÚTMUTATÓ</w:t>
      </w:r>
      <w:bookmarkEnd w:id="0"/>
      <w:bookmarkEnd w:id="1"/>
      <w:bookmarkEnd w:id="2"/>
    </w:p>
    <w:p w14:paraId="2A41C5B9" w14:textId="77777777" w:rsidR="00441DF2" w:rsidRPr="00037E7B" w:rsidRDefault="00441DF2" w:rsidP="00441DF2">
      <w:pPr>
        <w:rPr>
          <w:lang w:eastAsia="x-none"/>
        </w:rPr>
      </w:pPr>
    </w:p>
    <w:p w14:paraId="783AFAE2" w14:textId="29BB9ADF" w:rsidR="00EE75F2" w:rsidRDefault="00441DF2">
      <w:r>
        <w:t xml:space="preserve">(…)</w:t>
      </w:r>
    </w:p>
    <w:p w14:paraId="0FC12B51" w14:textId="77777777" w:rsidR="006063BD" w:rsidRPr="002A677E" w:rsidRDefault="006063BD" w:rsidP="006063BD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3" w:name="_Toc151714427"/>
      <w:r>
        <w:rPr>
          <w:sz w:val="24"/>
          <w:u w:val="none"/>
          <w:rFonts w:ascii="Times New Roman" w:hAnsi="Times New Roman"/>
        </w:rPr>
        <w:t xml:space="preserve">3.5.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C 10.01 és C 10.02 – A belső minősítésen alapuló módszer szerinti részvényjellegű kitettségek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(CR EQU IRB 1 és CR EQU IRB 2)</w:t>
      </w:r>
      <w:bookmarkEnd w:id="3"/>
    </w:p>
    <w:p w14:paraId="00A76F16" w14:textId="77777777" w:rsidR="006063BD" w:rsidRPr="002A677E" w:rsidRDefault="006063BD" w:rsidP="006063BD">
      <w:pPr>
        <w:pStyle w:val="Instructionsberschrift2"/>
        <w:numPr>
          <w:ilvl w:val="0"/>
          <w:numId w:val="0"/>
        </w:numPr>
        <w:rPr>
          <w:sz w:val="24"/>
          <w:rFonts w:ascii="Times New Roman" w:hAnsi="Times New Roman" w:cs="Times New Roman"/>
        </w:rPr>
      </w:pPr>
      <w:bookmarkStart w:id="4" w:name="_Toc151714428"/>
      <w:r>
        <w:rPr>
          <w:sz w:val="24"/>
          <w:rFonts w:ascii="Times New Roman" w:hAnsi="Times New Roman"/>
        </w:rPr>
        <w:t xml:space="preserve">3.5.1.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Általános megjegyzések</w:t>
      </w:r>
      <w:bookmarkEnd w:id="4"/>
    </w:p>
    <w:p w14:paraId="325D5C5C" w14:textId="5351FFE5" w:rsidR="006063BD" w:rsidRPr="002A677E" w:rsidRDefault="006063BD" w:rsidP="006063BD">
      <w:pPr>
        <w:pStyle w:val="InstructionsText2"/>
        <w:numPr>
          <w:ilvl w:val="0"/>
          <w:numId w:val="0"/>
        </w:numPr>
        <w:ind w:left="993"/>
      </w:pPr>
      <w:r>
        <w:t xml:space="preserve">92.</w:t>
      </w:r>
      <w:r>
        <w:t xml:space="preserve"> </w:t>
      </w:r>
      <w:r>
        <w:t xml:space="preserve">A CR EQU IRB két táblából áll:</w:t>
      </w:r>
      <w:r>
        <w:t xml:space="preserve"> </w:t>
      </w:r>
      <w:r>
        <w:t xml:space="preserve">A CR EQU IRB 1 általános áttekintést nyújt a részvényjellegű kitettségi osztályba sorolt IRB kitettségekről, valamint a teljes kockázati kitettségértékek különböző számítási módszereiről.</w:t>
      </w:r>
      <w:r>
        <w:t xml:space="preserve"> </w:t>
      </w:r>
      <w:r>
        <w:t xml:space="preserve">A CR EQU IRB 2 a teljes kitettségállományt kötelezetti kategóriák szerinti bontásban mutatja be a PD/LGD-módszerrel összefüggésben.</w:t>
      </w:r>
      <w:r>
        <w:t xml:space="preserve"> </w:t>
      </w:r>
      <w:r>
        <w:t xml:space="preserve">Az alábbi útmutatóban a CR EQU IRB megjelölés a CR EQU IRB 1 és CR EQU IRB 2 táblára egyaránt vonatkozik a helyzettől függően.</w:t>
      </w:r>
    </w:p>
    <w:p w14:paraId="42AD0632" w14:textId="7F41541B" w:rsidR="006063BD" w:rsidRPr="002A677E" w:rsidRDefault="006063BD" w:rsidP="006063BD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>93</w:t>
      </w:r>
      <w:r>
        <w:fldChar w:fldCharType="end"/>
      </w:r>
      <w:r>
        <w:t xml:space="preserve">.</w:t>
      </w:r>
      <w:r>
        <w:tab/>
      </w:r>
      <w:r>
        <w:t xml:space="preserve">A CR EQU IRB tábla a kockázattal súlyozott hitelkockázati kitettségértékeknek (az 575/2013/EU rendelet 92. cikke (4) bekezdésének a) pontja), az 575/2013/EU rendelet harmadik része II. címének 3. fejezete szerinti kiszámításával kapcsolatos információkat nyújt az említett rendelet 147. cikke (2) bekezdésének e) pontjában említett részvényjellegű kitettségekre vonatkozóan, az 575/2013/EU rendelet 495. cikke (1) bekezdése b) pontjának hatálya alá tartozó kitettségek vonatkozásában.</w:t>
      </w:r>
      <w:r>
        <w:t xml:space="preserve"> </w:t>
      </w:r>
      <w:r>
        <w:t xml:space="preserve">Az 575/2013/EU rendelet 495. cikke (1) bekezdése a) pontjának és 495. cikke (2) bekezdésének hatálya alá tartozó részvényjellegű kitettségeket a CR SA táblában (C 07.00) kell feltüntetni.</w:t>
      </w:r>
      <w:r>
        <w:t xml:space="preserve"> </w:t>
      </w:r>
      <w:r>
        <w:t xml:space="preserve">Az 575/2013/EU rendelet 495a. cikke (3) bekezdésének hatálya alá tartozó részvényjellegű kitettségeket szintén a CR SA táblában (C 07.00) kell feltüntetni.</w:t>
      </w:r>
    </w:p>
    <w:p w14:paraId="02D38A2A" w14:textId="0678C7A0" w:rsidR="006063BD" w:rsidRPr="002A677E" w:rsidRDefault="006063BD" w:rsidP="006063BD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>94</w:t>
      </w:r>
      <w:r>
        <w:fldChar w:fldCharType="end"/>
      </w:r>
      <w:r>
        <w:t xml:space="preserve">.</w:t>
      </w:r>
      <w:r>
        <w:tab/>
      </w:r>
      <w:r>
        <w:t xml:space="preserve">Az 575/2013/EU rendelet 133. cikkének (1) bekezdésében említett kitettségeket az 575/2013/EU rendelet 147. cikke (6) bekezdésével összhangban a „részvényjellegű kitettségek” kitettségi osztályba kell sorolni, kivéve, ha a „KBF befektetési jegyei vagy részvényei formájában fennálló kitettségek” kitettségi osztályba sorolják őket.</w:t>
      </w:r>
    </w:p>
    <w:p w14:paraId="520150D0" w14:textId="52F4D880" w:rsidR="006063BD" w:rsidRPr="002A677E" w:rsidRDefault="006063BD" w:rsidP="006063BD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>95</w:t>
      </w:r>
      <w:r>
        <w:fldChar w:fldCharType="end"/>
      </w:r>
      <w:r>
        <w:t xml:space="preserve">.</w:t>
      </w:r>
      <w:r>
        <w:tab/>
      </w:r>
      <w:r>
        <w:t xml:space="preserve">[Törölve]</w:t>
      </w:r>
    </w:p>
    <w:p w14:paraId="178611EC" w14:textId="34CA8091" w:rsidR="006063BD" w:rsidRPr="002A677E" w:rsidRDefault="006063BD" w:rsidP="006063BD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>96</w:t>
      </w:r>
      <w:r>
        <w:fldChar w:fldCharType="end"/>
      </w:r>
      <w:r>
        <w:t xml:space="preserve">.</w:t>
      </w:r>
      <w:r>
        <w:tab/>
      </w:r>
      <w:r>
        <w:t xml:space="preserve">Az 575/2013/EU rendelet 495. cikke (1) bekezdésének b) pontjával összhangban az intézményeknek akkor kell kitölteniük a CR EQU IRB táblát, ha a következő három módszer valamelyikét alkalmazzák:</w:t>
      </w:r>
      <w:r>
        <w:t xml:space="preserve"> </w:t>
      </w:r>
    </w:p>
    <w:p w14:paraId="0D6A3825" w14:textId="77777777" w:rsidR="006063BD" w:rsidRPr="002A677E" w:rsidRDefault="006063BD" w:rsidP="006063BD">
      <w:pPr>
        <w:pStyle w:val="InstructionsText"/>
      </w:pPr>
      <w:r>
        <w:t xml:space="preserve">– egyszerű kockázati súlyozási módszer;</w:t>
      </w:r>
    </w:p>
    <w:p w14:paraId="3EF899C4" w14:textId="77777777" w:rsidR="006063BD" w:rsidRPr="002A677E" w:rsidRDefault="006063BD" w:rsidP="006063BD">
      <w:pPr>
        <w:pStyle w:val="InstructionsText"/>
      </w:pPr>
      <w:r>
        <w:t xml:space="preserve">– PD/LGD-módszer;</w:t>
      </w:r>
    </w:p>
    <w:p w14:paraId="622FC220" w14:textId="77777777" w:rsidR="006063BD" w:rsidRDefault="006063BD" w:rsidP="006063BD">
      <w:pPr>
        <w:pStyle w:val="InstructionsText"/>
      </w:pPr>
      <w:r>
        <w:t xml:space="preserve">– belső modelleken alapuló módszer.</w:t>
      </w:r>
    </w:p>
    <w:p w14:paraId="5D37423B" w14:textId="57B3065A" w:rsidR="006063BD" w:rsidRPr="002A677E" w:rsidRDefault="006063BD" w:rsidP="006063BD">
      <w:pPr>
        <w:pStyle w:val="InstructionsText2"/>
        <w:numPr>
          <w:ilvl w:val="0"/>
          <w:numId w:val="0"/>
        </w:numPr>
        <w:ind w:left="1353"/>
        <w:rPr>
          <w:noProof/>
        </w:rPr>
      </w:pPr>
      <w:r>
        <w:t xml:space="preserve">Az 575/2013/EU rendelet 495. cikke (1) bekezdésének b) pontjával összhangban az intézmények a különböző portfóliók esetében különböző módszereket (egyszerű kockázati súlyozási módszer, PD/LGD-módszer, belső modellen alapuló módszer) alkalmazhatnak, ha ezeket a módszereket a szervezeten belül alkalmazzák.</w:t>
      </w:r>
    </w:p>
    <w:p w14:paraId="2BF4ADE6" w14:textId="52D016FB" w:rsidR="006063BD" w:rsidRPr="002A677E" w:rsidRDefault="006063BD" w:rsidP="006063BD">
      <w:pPr>
        <w:pStyle w:val="InstructionsText2"/>
        <w:numPr>
          <w:ilvl w:val="0"/>
          <w:numId w:val="0"/>
        </w:numPr>
        <w:ind w:left="1353"/>
        <w:rPr>
          <w:noProof/>
        </w:rPr>
      </w:pPr>
      <w:r>
        <w:t xml:space="preserve">Ezenfelül az IRB módszert alkalmazó intézményeknek a CR EQU IRB táblán adatot kell szolgáltatniuk az olyan részvényjellegű kitettségekre vonatkozó kockázattal súlyozott kitettségértékekről is, amelyekre fix kockázati súly vonatkozik (azonban az egyszerű kockázati súlyozási módszer kifejezett alkalmazása, vagy a hitelkockázati sztenderd módszer átmeneti vagy tartós mentesítés alapján történő alkalmazása nélkül; például az 575/2013/EU rendelet 48. cikkének (4) bekezdése szerint 250 %-os, a rendelet 471. cikkének (2) bekezdése szerint 370 %-os kockázati súllyal kezelt részvényjellegű kitettségek esetében).</w:t>
      </w:r>
    </w:p>
    <w:p w14:paraId="4BBD6043" w14:textId="467889B4" w:rsidR="006063BD" w:rsidRDefault="00A65C1A" w:rsidP="0092685D">
      <w:pPr>
        <w:pStyle w:val="InstructionsText2"/>
        <w:numPr>
          <w:ilvl w:val="0"/>
          <w:numId w:val="0"/>
        </w:numPr>
        <w:ind w:left="993"/>
      </w:pPr>
      <w:r>
        <w:t xml:space="preserve">97.</w:t>
      </w:r>
      <w:r>
        <w:tab/>
      </w:r>
      <w:r>
        <w:t xml:space="preserve">[Törölve]</w:t>
      </w:r>
    </w:p>
    <w:p w14:paraId="6DA8654B" w14:textId="4CECC17C" w:rsidR="00546AF1" w:rsidRPr="002A677E" w:rsidRDefault="00546AF1" w:rsidP="0092685D">
      <w:pPr>
        <w:pStyle w:val="InstructionsText2"/>
        <w:numPr>
          <w:ilvl w:val="0"/>
          <w:numId w:val="0"/>
        </w:numPr>
        <w:ind w:left="993"/>
      </w:pPr>
      <w:r>
        <w:t xml:space="preserve">97a.</w:t>
      </w:r>
      <w:r>
        <w:t xml:space="preserve"> </w:t>
      </w:r>
      <w:r>
        <w:t xml:space="preserve">A következő útmutató az 575/2013/EU rendelet 2024. július 8-án alkalmazandó változatára vonatkozik.</w:t>
      </w:r>
    </w:p>
    <w:p w14:paraId="3B22CAB3" w14:textId="77777777" w:rsidR="006063BD" w:rsidRPr="002A677E" w:rsidRDefault="006063BD" w:rsidP="006063BD">
      <w:pPr>
        <w:pStyle w:val="InstructionsText"/>
      </w:pPr>
    </w:p>
    <w:p w14:paraId="40C6FF22" w14:textId="77777777" w:rsidR="006063BD" w:rsidRPr="002A677E" w:rsidRDefault="006063BD" w:rsidP="006063BD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5" w:name="_Toc295829921"/>
      <w:bookmarkStart w:id="6" w:name="_Toc310415033"/>
      <w:bookmarkStart w:id="7" w:name="_Toc360188371"/>
      <w:bookmarkStart w:id="8" w:name="_Toc473560922"/>
      <w:bookmarkStart w:id="9" w:name="_Toc151714429"/>
      <w:r>
        <w:rPr>
          <w:sz w:val="24"/>
          <w:u w:val="none"/>
          <w:rFonts w:ascii="Times New Roman" w:hAnsi="Times New Roman"/>
        </w:rPr>
        <w:t xml:space="preserve">3.5.2.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 tábla egyes részeire vonatkozó útmutató</w:t>
      </w:r>
      <w:bookmarkEnd w:id="5"/>
      <w:bookmarkEnd w:id="6"/>
      <w:r>
        <w:rPr>
          <w:sz w:val="24"/>
          <w:rFonts w:ascii="Times New Roman" w:hAnsi="Times New Roman"/>
        </w:rPr>
        <w:t xml:space="preserve"> (mind a CR EQU IRB 1, mind a CR EQU IRB 2 táblára alkalmazandó)</w:t>
      </w:r>
      <w:bookmarkEnd w:id="7"/>
      <w:bookmarkEnd w:id="8"/>
      <w:bookmarkEnd w:id="9"/>
    </w:p>
    <w:tbl>
      <w:tblPr>
        <w:tblW w:w="0" w:type="auto"/>
        <w:tblLook w:val="01E0" w:firstRow="1" w:lastRow="1" w:firstColumn="1" w:lastColumn="1" w:noHBand="0" w:noVBand="0"/>
      </w:tblPr>
      <w:tblGrid>
        <w:gridCol w:w="852"/>
        <w:gridCol w:w="8004"/>
      </w:tblGrid>
      <w:tr w:rsidR="006063BD" w:rsidRPr="002A677E" w14:paraId="1FF84224" w14:textId="77777777" w:rsidTr="00E07FE9">
        <w:tc>
          <w:tcPr>
            <w:tcW w:w="8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D36877B" w14:textId="77777777" w:rsidR="006063BD" w:rsidRPr="001235ED" w:rsidRDefault="006063BD" w:rsidP="00E07FE9">
            <w:pPr>
              <w:spacing w:beforeLines="60" w:before="144" w:afterLines="60" w:after="144"/>
              <w:rPr>
                <w:rStyle w:val="InstructionsTabelleText"/>
                <w:b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b/>
                <w:sz w:val="24"/>
                <w:rFonts w:ascii="Times New Roman" w:hAnsi="Times New Roman"/>
              </w:rPr>
              <w:t xml:space="preserve">Oszlopok</w:t>
            </w:r>
          </w:p>
        </w:tc>
      </w:tr>
      <w:tr w:rsidR="006063BD" w:rsidRPr="002A677E" w14:paraId="65A83B7D" w14:textId="77777777" w:rsidTr="00E07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2" w:type="dxa"/>
          </w:tcPr>
          <w:p w14:paraId="120E2B5C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0005</w:t>
            </w:r>
          </w:p>
        </w:tc>
        <w:tc>
          <w:tcPr>
            <w:tcW w:w="8004" w:type="dxa"/>
          </w:tcPr>
          <w:p w14:paraId="44A21873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ÜGYFÉLKATEGÓRIA (SORAZONOSÍTÓ)</w:t>
            </w:r>
          </w:p>
          <w:p w14:paraId="1990DE2E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A kötelezetti kategória egy sorazonosító, amely a tábla egyes lapjainak minden sorát egyedileg azonosítja.</w:t>
            </w: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Sorrendje: 1, 2, 3 stb.</w:t>
            </w:r>
          </w:p>
        </w:tc>
      </w:tr>
      <w:tr w:rsidR="006063BD" w:rsidRPr="002A677E" w14:paraId="4A3DF45C" w14:textId="77777777" w:rsidTr="00E07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2" w:type="dxa"/>
          </w:tcPr>
          <w:p w14:paraId="01FF0DC5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004" w:type="dxa"/>
          </w:tcPr>
          <w:p w14:paraId="30BFEC80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BELSŐ MINŐSÍTÉSI SKÁLA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4DE0AB3D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AZ ÜGYFÉLKATEGÓRIÁHOZ RENDELT NEMTELJESÍTÉSI VALÓSZÍNŰSÉG (PD, %)</w:t>
            </w:r>
          </w:p>
          <w:p w14:paraId="3F16319B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 PD/LGD-módszert alkalmazó intézmények a 0010-es oszlopban az 575/2013/EU rendelet 165. cikkének (1) bekezdése szerint kiszámított nemteljesítési valószínűséget (PD) tüntetik fel.</w:t>
            </w:r>
          </w:p>
          <w:p w14:paraId="5179D71B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 kötelezetti kategóriához vagy halmazhoz rendelt, feltüntetendő PD-értéket az 575/2013/EU rendelet harmadik része II. címe 3. fejezetének 6. szakaszában foglalt minimumkövetelményeknek megfelelően kell megállapítani.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Az egyes kötelezetti kategóriákhoz vagy halmazokhoz rendelt PD-értéket kell feltüntetni.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 feltüntetett kockázati paramétereket az adott illetékes hatóság által jóváhagyott belső minősítési skálában alkalmazott kockázati paraméterekből kell származtatni.</w:t>
            </w:r>
          </w:p>
          <w:p w14:paraId="4A3E11CE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 kötelezetti kategóriák vagy halmazok összesítő adataira (pl. a teljes kitettségre) vonatkozóan az összesítésbe beszámított kötelezetti kategóriákhoz vagy halmazokhoz rendelt PD-értékek kitettséggel súlyozott átlagát kell feltüntetni.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 kitettséggel súlyozott átlagos PD kiszámításakor valamennyi kitettséget figyelembe kell venni, ideértve a nemteljesítő kitettségeket is. A kitettséggel súlyozott átlagos PD érték kiszámításánál a súlyozást az előre nem rendelkezésre bocsátott hitelkockázati fedezet (0060-as oszlop) figyelembevételével megállapított kitettségérték alapján kell végezni.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</w:p>
        </w:tc>
      </w:tr>
      <w:tr w:rsidR="006063BD" w:rsidRPr="002A677E" w14:paraId="213F2491" w14:textId="77777777" w:rsidTr="00E07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2" w:type="dxa"/>
          </w:tcPr>
          <w:p w14:paraId="45D4562C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004" w:type="dxa"/>
          </w:tcPr>
          <w:p w14:paraId="7DFAAD46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HITEL-EGYENÉRTÉKESÍTÉSI TÉNYEZŐK ELŐTTI EREDETI KITETTSÉG</w:t>
            </w:r>
          </w:p>
          <w:p w14:paraId="14D647B9" w14:textId="77777777" w:rsidR="006063BD" w:rsidRPr="002A677E" w:rsidRDefault="006063BD" w:rsidP="00E07FE9">
            <w:pPr>
              <w:autoSpaceDE w:val="0"/>
              <w:autoSpaceDN w:val="0"/>
              <w:adjustRightInd w:val="0"/>
              <w:spacing w:before="0" w:after="0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Az intézmények a 0020-as sorban a hitel-egyenértékesítési tényezők előtti eredeti kitettségértéket tüntetik fel.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Az 575/2013/EU rendelet 167. cikke szerint a részvényjellegű kitettségekhez tartozó kitettségérték az egyedi hitelkockázati kiigazítások alkalmazását követően fennmaradó könyv szerinti értéknek felel meg.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 mérlegen kívüli részvényjellegű kitettségekhez tartozó kitettségérték az egyedi hitelkockázati kiigazításokkal csökkentett névérték.</w:t>
            </w:r>
          </w:p>
          <w:p w14:paraId="7B8A5042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intézmények ezenkívül a 0020-as oszlopban tüntetik fel az 575/2013/EU rendelet I. mellékletében említett, a részvényjellegű kitettségi osztályba sorolt mérlegen kívüli tételeket (pl. a részben kifizetett részvények és értékpapírok kifizetetlen részét).</w:t>
            </w:r>
          </w:p>
          <w:p w14:paraId="0435DBD5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egyszerű kockázati súlyozási módszert vagy az 575/2013/EU rendelet 165. cikkének (1) bekezdésében említett PD/LGD-módszert alkalmazó intézményeknek figyelembe kell venniük az 575/2013/EU rendelet 155. cikke (2) bekezdésének második albekezdésében említett beszámítást (offset) is.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</w:p>
        </w:tc>
      </w:tr>
      <w:tr w:rsidR="006063BD" w:rsidRPr="002A677E" w14:paraId="382DC2E8" w14:textId="77777777" w:rsidTr="00E07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2" w:type="dxa"/>
          </w:tcPr>
          <w:p w14:paraId="0E6A8C45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0030–0040</w:t>
            </w:r>
          </w:p>
        </w:tc>
        <w:tc>
          <w:tcPr>
            <w:tcW w:w="8004" w:type="dxa"/>
          </w:tcPr>
          <w:p w14:paraId="2893F262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 KITETTSÉGRE HELYETTESÍTÉSI HATÁSSAL JÁRÓ HITELKOCKÁZAT-MÉRSÉKLÉSI (CRM) TECHNIKÁK</w:t>
            </w:r>
          </w:p>
          <w:p w14:paraId="4EC65FBC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ELŐRE NEM RENDELKEZÉSRE BOCSÁTOTT HITELKOCKÁZATI FEDEZET</w:t>
            </w:r>
          </w:p>
          <w:p w14:paraId="2B5389BD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GARANCIÁK</w:t>
            </w:r>
          </w:p>
          <w:p w14:paraId="3ED7D45A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HITELDERIVATÍVÁK</w:t>
            </w:r>
          </w:p>
          <w:p w14:paraId="78FA5F7A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részvényjellegű kitettségekre vonatkozó kockázattal súlyozott kitettségértékek kiszámításához alkalmazott módszertől függetlenül az intézmények a részvényjellegű kitettségek előre nem rendelkezésre bocsátott hitelkockázati fedezetét is elismerhetik (az 575/2013/EU rendelet 155. cikkének (2), (3) és (4) bekezdése).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Az egyszerű kockázati súlyozási módszert vagy a PD/LGD-módszert alkalmazó intézmények a 0030-as és 0040-es oszlopban az 575/2013/EU rendelet harmadik része II. címének 4. fejezetében foglalt módszerek szerint elismert, előre nem rendelkezésre bocsátott hitelkockázati fedezet összegét garanciák (0030-as oszlop) vagy hitelderivatívák (0040-es oszlop) formájában tüntetik fel.</w:t>
            </w:r>
          </w:p>
        </w:tc>
      </w:tr>
      <w:tr w:rsidR="006063BD" w:rsidRPr="002A677E" w14:paraId="17F47692" w14:textId="77777777" w:rsidTr="00E07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2" w:type="dxa"/>
          </w:tcPr>
          <w:p w14:paraId="4E9B1439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004" w:type="dxa"/>
          </w:tcPr>
          <w:p w14:paraId="2E63B5A9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 KITETTSÉGRE HELYETTESÍTÉSI HATÁSSAL JÁRÓ HITELKOCKÁZAT-MÉRSÉKLÉSI (CRM) TECHNIKÁK</w:t>
            </w:r>
          </w:p>
          <w:p w14:paraId="423CDDE6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 KITETTSÉG HITELKOCKÁZAT-MÉRSÉKLÉS MIATTI HELYETTESÍTÉSE</w:t>
            </w:r>
          </w:p>
          <w:p w14:paraId="3419A1AA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(–) KIÁRAMLÁSOK ÖSSZESEN</w:t>
            </w:r>
          </w:p>
          <w:p w14:paraId="565BB9D1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intézmények az 0050-es oszlopban tüntetik fel a hitel-egyenértékesítési tényezők előtti eredeti kitettségnek azt a részét, amely az 575/2013/EU rendelet harmadik része II. címének 4. fejezetében foglalt módszerek szerint megjelenített, előre nem rendelkezésre bocsátott hitelkockázati fedezettel rendelkezik.</w:t>
            </w:r>
          </w:p>
        </w:tc>
      </w:tr>
      <w:tr w:rsidR="006063BD" w:rsidRPr="002A677E" w14:paraId="5722682D" w14:textId="77777777" w:rsidTr="00E07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2" w:type="dxa"/>
          </w:tcPr>
          <w:p w14:paraId="18758B3E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004" w:type="dxa"/>
          </w:tcPr>
          <w:p w14:paraId="706B98F2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KITETTSÉGÉRTÉK</w:t>
            </w:r>
          </w:p>
          <w:p w14:paraId="6AD76A6E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egyszerű kockázati súlyozási módszert vagy a PD/LGD-módszert alkalmazó intézmények a 0060-as oszlopban a kitettségértéket tüntetik fel az előre nem rendelkezésre bocsátott hitelkockázati fedezetből eredő helyettesítési hatások figyelembevételével (az 575/2013/EU rendelet 155. cikkének (2) és (3) bekezdése, valamint 167. cikke).</w:t>
            </w:r>
          </w:p>
          <w:p w14:paraId="651AFB2A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mérlegen kívüli részvényjellegű kitettségek esetében a kitettségérték az egyedi hitelkockázati kiigazításokkal csökkentett névérték (az 575/2013/EU rendelet 167. cikke).</w:t>
            </w:r>
          </w:p>
        </w:tc>
      </w:tr>
      <w:tr w:rsidR="006063BD" w:rsidRPr="002A677E" w14:paraId="6B327CFF" w14:textId="77777777" w:rsidTr="00E07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2" w:type="dxa"/>
          </w:tcPr>
          <w:p w14:paraId="5E037218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0061</w:t>
            </w:r>
          </w:p>
        </w:tc>
        <w:tc>
          <w:tcPr>
            <w:tcW w:w="8004" w:type="dxa"/>
          </w:tcPr>
          <w:p w14:paraId="453CE433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EBBŐL: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MÉRLEGEN KÍVÜLI TÉTELEK</w:t>
            </w:r>
          </w:p>
          <w:p w14:paraId="4C0B5E6E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Lásd a CR SA táblához tartozó útmutatót.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</w:tc>
      </w:tr>
      <w:tr w:rsidR="006063BD" w:rsidRPr="002A677E" w14:paraId="1466607A" w14:textId="77777777" w:rsidTr="00E07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2" w:type="dxa"/>
          </w:tcPr>
          <w:p w14:paraId="0AF23714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004" w:type="dxa"/>
          </w:tcPr>
          <w:p w14:paraId="0937B83C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KITETTSÉGGEL SÚLYOZOTT ÁTLAGOS LGD (%)</w:t>
            </w:r>
          </w:p>
          <w:p w14:paraId="39A39197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 PD/LGD-módszert alkalmazó intézmények az összesítésben szereplő kötelezetti kategóriákba vagy halmazokba sorolt LGD-értékek kitettséggel súlyozott átlagát tüntetik fel.</w:t>
            </w:r>
          </w:p>
          <w:p w14:paraId="531525BF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 kitettséggel súlyozott átlagos LGD-értéket az előre nem rendelkezésre bocsátott hitelkockázati fedezet figyelembevételével meghatározott kitettségérték (0060-as oszlop) alapján kell kiszámítani.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</w:p>
          <w:p w14:paraId="6D55ECB2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intézményeknek figyelembe kell venniük az 575/2013/EU rendelet 165. cikkének (2) bekezdésében foglalt rendelkezéseket.</w:t>
            </w:r>
          </w:p>
        </w:tc>
      </w:tr>
      <w:tr w:rsidR="006063BD" w:rsidRPr="002A677E" w14:paraId="31AFD79C" w14:textId="77777777" w:rsidTr="00E07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2" w:type="dxa"/>
          </w:tcPr>
          <w:p w14:paraId="368FECE1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004" w:type="dxa"/>
          </w:tcPr>
          <w:p w14:paraId="4A7F554B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KOCKÁZATTAL SÚLYOZOTT KITETTSÉGÉRTÉK</w:t>
            </w:r>
          </w:p>
          <w:p w14:paraId="11F80B1F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intézményeknek adatot kell szolgáltatniuk a részvényjellegű kitettségekre vonatkozó, az 575/2013/EU rendelet 155. cikke szerint kiszámított kockázattal súlyozott kitettségértékekről.</w:t>
            </w:r>
          </w:p>
          <w:p w14:paraId="73CF54D0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Ha a PD/LGD-módszert alkalmazó intézmények nem rendelkeznek elegendő információval a nemteljesítés az 575/2013/EU rendelet 178. cikkében meghatározott fogalmának használatához, akkor a kockázattal súlyozott kitettségértékek kiszámításakor a kockázati súlyokra 1,5-es szorzót kell alkalmazni (az 575/2013/EU rendelet 155. cikkének (3) bekezdése).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</w:p>
          <w:p w14:paraId="73F5A45F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kockázatisúly-függvény M (lejárat) bemenő paramétere tekintetében a részvényjellegű kitettségekhez rendelt lejárat 5 év (az 575/2013/EU rendelet 165. cikkének (3) bekezdése).</w:t>
            </w:r>
          </w:p>
        </w:tc>
      </w:tr>
      <w:tr w:rsidR="006063BD" w:rsidRPr="002A677E" w14:paraId="6D510B40" w14:textId="77777777" w:rsidTr="00E07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2" w:type="dxa"/>
          </w:tcPr>
          <w:p w14:paraId="41EF4254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004" w:type="dxa"/>
          </w:tcPr>
          <w:p w14:paraId="12D0755F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TÁJÉKOZTATÓ ADAT: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VÁRHATÓ VESZTESÉGÉRTÉK</w:t>
            </w:r>
          </w:p>
          <w:p w14:paraId="623383B8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intézmények a 0090-es oszlopban tüntetik fel a részvényjellegű kitettségekre vonatkozó várható veszteségértéket, amelyeket az 575/2013/EU rendelet 158. cikkének (4), (7), (8) és (9) bekezdése szerint kell kiszámítani.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</w:p>
        </w:tc>
      </w:tr>
    </w:tbl>
    <w:p w14:paraId="5929752F" w14:textId="77777777" w:rsidR="006063BD" w:rsidRPr="002A677E" w:rsidRDefault="006063BD" w:rsidP="006063BD">
      <w:pPr>
        <w:pStyle w:val="InstructionsText"/>
      </w:pPr>
    </w:p>
    <w:p w14:paraId="26816B4F" w14:textId="4774BD94" w:rsidR="006063BD" w:rsidRPr="002A677E" w:rsidRDefault="006063BD" w:rsidP="006063BD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 w:rsidRPr="002A677E">
        <w:t>98</w:t>
      </w:r>
      <w:r>
        <w:fldChar w:fldCharType="end"/>
      </w:r>
      <w:r>
        <w:t xml:space="preserve">.</w:t>
      </w:r>
      <w:r>
        <w:tab/>
      </w:r>
      <w:r>
        <w:t xml:space="preserve">[Törölve]</w:t>
      </w:r>
    </w:p>
    <w:tbl>
      <w:tblPr>
        <w:tblW w:w="9524" w:type="dxa"/>
        <w:tblLook w:val="01E0" w:firstRow="1" w:lastRow="1" w:firstColumn="1" w:lastColumn="1" w:noHBand="0" w:noVBand="0"/>
      </w:tblPr>
      <w:tblGrid>
        <w:gridCol w:w="1608"/>
        <w:gridCol w:w="7916"/>
      </w:tblGrid>
      <w:tr w:rsidR="006063BD" w:rsidRPr="002A677E" w14:paraId="390F1BBB" w14:textId="77777777" w:rsidTr="00E07FE9">
        <w:tc>
          <w:tcPr>
            <w:tcW w:w="9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4DFE8A5E" w14:textId="77777777" w:rsidR="006063BD" w:rsidRPr="001235ED" w:rsidRDefault="006063BD" w:rsidP="00E07FE9">
            <w:pPr>
              <w:spacing w:beforeLines="60" w:before="144" w:afterLines="60" w:after="144"/>
              <w:rPr>
                <w:rStyle w:val="InstructionsTabelleText"/>
                <w:b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b/>
                <w:sz w:val="24"/>
                <w:rFonts w:ascii="Times New Roman" w:hAnsi="Times New Roman"/>
              </w:rPr>
              <w:t xml:space="preserve">Sorok</w:t>
            </w:r>
          </w:p>
        </w:tc>
      </w:tr>
      <w:tr w:rsidR="006063BD" w:rsidRPr="002A677E" w14:paraId="7C696210" w14:textId="77777777" w:rsidTr="00E07FE9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97C6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CR EQU IRB 1 – 0020-as sor</w:t>
            </w:r>
          </w:p>
          <w:p w14:paraId="1F763B4F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</w:p>
        </w:tc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DF7E7" w14:textId="77777777" w:rsidR="006063BD" w:rsidRPr="002A677E" w:rsidRDefault="006063BD" w:rsidP="00E07FE9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PD/LGD-MÓDSZER: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ÖSSZESEN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19AC2738" w14:textId="77777777" w:rsidR="006063BD" w:rsidRPr="002A677E" w:rsidRDefault="006063BD" w:rsidP="00E07FE9">
            <w:pPr>
              <w:keepNext/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PD/LGD-módszert alkalmazó intézmények (az 575/2013/EU rendelet 155. cikkének (3) pontja) a kért információkat a CR EQU IRB 1 tábla 0020-as sorában tüntetik fel.</w:t>
            </w:r>
          </w:p>
        </w:tc>
      </w:tr>
      <w:tr w:rsidR="006063BD" w:rsidRPr="002A677E" w14:paraId="74C2BF7F" w14:textId="77777777" w:rsidTr="00E07FE9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EE08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CR EQU IRB 1 – 0050–0090-es sor</w:t>
            </w:r>
          </w:p>
        </w:tc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8A3D" w14:textId="77777777" w:rsidR="006063BD" w:rsidRPr="002A677E" w:rsidRDefault="006063BD" w:rsidP="00E07FE9">
            <w:pPr>
              <w:rPr>
                <w:rStyle w:val="InstructionsTabelleText"/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Text"/>
                <w:b/>
                <w:sz w:val="24"/>
                <w:u w:val="single"/>
                <w:rFonts w:ascii="Times New Roman" w:hAnsi="Times New Roman"/>
              </w:rPr>
              <w:t xml:space="preserve">EGYSZERŰ KOCKÁZATI SÚLYOZÁSI MÓDSZER:</w:t>
            </w:r>
            <w:r>
              <w:rPr>
                <w:rStyle w:val="InstructionsTabelleText"/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b/>
                <w:sz w:val="24"/>
                <w:u w:val="single"/>
                <w:rFonts w:ascii="Times New Roman" w:hAnsi="Times New Roman"/>
              </w:rPr>
              <w:t xml:space="preserve">ÖSSZESEN</w:t>
            </w:r>
          </w:p>
          <w:p w14:paraId="4AD71E33" w14:textId="77777777" w:rsidR="006063BD" w:rsidRPr="002A677E" w:rsidRDefault="006063BD" w:rsidP="00E07FE9">
            <w:pPr>
              <w:rPr>
                <w:rStyle w:val="InstructionsTabelleText"/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Text"/>
                <w:b/>
                <w:sz w:val="24"/>
                <w:u w:val="single"/>
                <w:rFonts w:ascii="Times New Roman" w:hAnsi="Times New Roman"/>
              </w:rPr>
              <w:t xml:space="preserve">A TELJES KITETTSÉG KOCKÁZATI SÚLY SZERINTI BONTÁSA AZ EGYSZERŰ KOCKÁZATI SÚLYOZÁSI MÓDSZER ALAPJÁN:</w:t>
            </w:r>
          </w:p>
          <w:p w14:paraId="39AE74C7" w14:textId="77777777" w:rsidR="006063BD" w:rsidRPr="002A677E" w:rsidRDefault="006063BD" w:rsidP="00E07FE9">
            <w:pPr>
              <w:keepNext/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egyszerű kockázati súlyozási módszert alkalmazó intézmények (az 575/2013/EU rendelet 155. cikkének (2) bekezdése) a kért információkat az alapul szolgáló kitettségek jellemzőinek megfelelően a 0050–0090-es sorban adják meg.</w:t>
            </w:r>
          </w:p>
        </w:tc>
      </w:tr>
      <w:tr w:rsidR="006063BD" w:rsidRPr="002A677E" w14:paraId="5AE60468" w14:textId="77777777" w:rsidTr="00E07FE9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956BB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CR EQU IRB 1 – 0100-as sor</w:t>
            </w:r>
          </w:p>
        </w:tc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13DD8" w14:textId="77777777" w:rsidR="006063BD" w:rsidRPr="002A677E" w:rsidRDefault="006063BD" w:rsidP="00E07FE9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BELSŐ MODELLEKEN ALAPULÓ MÓDSZER</w:t>
            </w:r>
          </w:p>
          <w:p w14:paraId="186E4F54" w14:textId="77777777" w:rsidR="006063BD" w:rsidRPr="002A677E" w:rsidRDefault="006063BD" w:rsidP="00E07FE9">
            <w:pPr>
              <w:pStyle w:val="InstructionsText"/>
              <w:rPr>
                <w:rStyle w:val="FormatvorlageInstructionsTabelleText"/>
                <w:bCs w:val="0"/>
              </w:rPr>
            </w:pPr>
            <w:r>
              <w:t xml:space="preserve">A belső modelleken alapuló módszert alkalmazó intézmények (az 575/2013/EU rendelet 155. cikkének (4) bekezdése) a kért információkat a 0100-as sorban tüntetik fel.</w:t>
            </w:r>
          </w:p>
        </w:tc>
      </w:tr>
      <w:tr w:rsidR="006063BD" w:rsidRPr="002A677E" w14:paraId="5AD92C15" w14:textId="77777777" w:rsidTr="00E07FE9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0124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bCs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CR EQU IRB 1 – 0110-es sor</w:t>
            </w:r>
          </w:p>
        </w:tc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CA97A" w14:textId="77777777" w:rsidR="006063BD" w:rsidRPr="002A677E" w:rsidRDefault="006063BD" w:rsidP="00E07FE9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KOCKÁZATI SÚLYOZÁS ALÁ TARTOZÓ RÉSZVÉNYJELLEGŰ KITETTSÉGEK</w:t>
            </w:r>
          </w:p>
          <w:p w14:paraId="7E2EA0A2" w14:textId="77777777" w:rsidR="006063BD" w:rsidRPr="002A677E" w:rsidRDefault="006063BD" w:rsidP="00E07FE9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IRB módszert alkalmazó intézményeknek adatot kell szolgáltatniuk az olyan részvényjellegű kitettségekre vonatkozó kockázattal súlyozott kitettségértékekről, amelyekre fix kockázati súly alkalmazandó (azonban az egyszerű kockázati súlyozási módszer kifejezett alkalmazása, vagy a hitelkockázati sztenderd módszer átmeneti vagy tartós mentesítés alapján történő alkalmazása nélkül), ideértve a következő kitettségeket:</w:t>
            </w:r>
          </w:p>
          <w:p w14:paraId="5DD55598" w14:textId="77777777" w:rsidR="006063BD" w:rsidRPr="002A677E" w:rsidRDefault="006063BD" w:rsidP="00E07FE9">
            <w:pPr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– a pénzügyi ágazatbeli szervezetekkel szemben fennálló, az 575/2013/EU rendelet 48. cikkének (4) bekezdése szerint kezelt részvényjellegű pozíciók kockázattal súlyozott kitettségértékét, valamint</w:t>
            </w:r>
          </w:p>
          <w:p w14:paraId="5C41940A" w14:textId="77777777" w:rsidR="006063BD" w:rsidRPr="002A677E" w:rsidRDefault="006063BD" w:rsidP="00E07FE9">
            <w:pPr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– az 575/2013/EU rendelet 471. cikkének (2) bekezdése szerint 370 %-os kockázati súlyú részvényjellegű pozíciókat, amelyeket a 0110-es sorban kell feltüntetni.</w:t>
            </w:r>
          </w:p>
        </w:tc>
      </w:tr>
      <w:tr w:rsidR="006063BD" w:rsidRPr="002A677E" w14:paraId="183FE009" w14:textId="77777777" w:rsidTr="00E07FE9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410C8" w14:textId="77777777" w:rsidR="006063BD" w:rsidRPr="002A677E" w:rsidRDefault="006063BD" w:rsidP="00E07FE9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CR EQU IRB 2</w:t>
            </w:r>
          </w:p>
          <w:p w14:paraId="6FA49741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</w:p>
        </w:tc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8736" w14:textId="77777777" w:rsidR="006063BD" w:rsidRPr="002A677E" w:rsidRDefault="006063BD" w:rsidP="00E07FE9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 TELJES KITETTSÉG ÜGYFÉLKATEGÓRIA SZERINTI BONTÁSA A PD/LGD-MÓDSZER ALAPJÁN</w:t>
            </w:r>
          </w:p>
          <w:p w14:paraId="248ED9FE" w14:textId="77777777" w:rsidR="006063BD" w:rsidRPr="002A677E" w:rsidRDefault="006063BD" w:rsidP="00E07FE9">
            <w:pPr>
              <w:keepNext/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PD/LGD-módszert alkalmazó intézmények (az 575/2013/EU rendelet 155. cikkének (3) bekezdése) a kért információkat a CR EQU IRB 2 táblán tüntetik fel.</w:t>
            </w:r>
          </w:p>
          <w:p w14:paraId="174DA1AB" w14:textId="77777777" w:rsidR="006063BD" w:rsidRPr="002A677E" w:rsidRDefault="006063BD" w:rsidP="00E07FE9">
            <w:pPr>
              <w:rPr>
                <w:rStyle w:val="InstructionsTabelleberschrift"/>
                <w:b w:val="0"/>
                <w:bCs w:val="0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Annak a PD/LGD-módszert alkalmazó intézménynek, amely egyedi minősítési skálát alkalmaz, vagy az adatszolgáltatást irányadó belső skála alapján tudja teljesíteni, a CR EQU IRB 2 táblán az egyedi minősítési skála/irányadó skála szerinti minősítési kategóriákat vagy halmazokat kell megadnia.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Minden más esetben a különböző minősítési skálákat a következő kritériumok alapján kell összevonni és rangsorolni: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 különböző minősítési skálák kötelezetti kategóriáit vagy halmazait össze kell vonni, majd az egyes kötelezetti kategóriákhoz vagy halmazokhoz rendelt PD-érték alapján növekvő sorrendbe kell állítani.</w:t>
            </w:r>
          </w:p>
        </w:tc>
      </w:tr>
    </w:tbl>
    <w:p w14:paraId="6582749C" w14:textId="77777777" w:rsidR="006063BD" w:rsidRPr="002A677E" w:rsidRDefault="006063BD" w:rsidP="006063BD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</w:p>
    <w:p w14:paraId="63729A6E" w14:textId="77777777" w:rsidR="006063BD" w:rsidRDefault="006063BD"/>
    <w:sectPr w:rsidR="006063BD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596C8" w14:textId="77777777" w:rsidR="006063BD" w:rsidRDefault="006063BD" w:rsidP="006063BD">
      <w:pPr>
        <w:spacing w:before="0" w:after="0"/>
      </w:pPr>
      <w:r>
        <w:separator/>
      </w:r>
    </w:p>
  </w:endnote>
  <w:endnote w:type="continuationSeparator" w:id="0">
    <w:p w14:paraId="3028241C" w14:textId="77777777" w:rsidR="006063BD" w:rsidRDefault="006063BD" w:rsidP="006063B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DFE04" w14:textId="77777777" w:rsidR="006063BD" w:rsidRDefault="006063BD" w:rsidP="006063BD">
      <w:pPr>
        <w:spacing w:before="0" w:after="0"/>
      </w:pPr>
      <w:r>
        <w:separator/>
      </w:r>
    </w:p>
  </w:footnote>
  <w:footnote w:type="continuationSeparator" w:id="0">
    <w:p w14:paraId="293D1C5B" w14:textId="77777777" w:rsidR="006063BD" w:rsidRDefault="006063BD" w:rsidP="006063B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E9E92" w14:textId="69BAC378" w:rsidR="006063BD" w:rsidRDefault="006063BD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3CE9D0B3" wp14:editId="4549156A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895922503" name="Text Box 2" descr="EBH – szokásos felhasználásr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38F3FC" w14:textId="14F4CCDD" w:rsidR="006063BD" w:rsidRPr="006063BD" w:rsidRDefault="006063BD" w:rsidP="006063BD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EBH – szokásos felhasználásra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E9D0B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H – szokásos felhasználásra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2538F3FC" w14:textId="14F4CCDD" w:rsidR="006063BD" w:rsidRPr="006063BD" w:rsidRDefault="006063BD" w:rsidP="006063BD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EBH – szokásos felhasználásra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09D82" w14:textId="3E3B122B" w:rsidR="006063BD" w:rsidRDefault="006063BD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7B34D3BC" wp14:editId="36C0A0C3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976072552" name="Text Box 3" descr="EBH – szokásos felhasználásr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63421D" w14:textId="47EC1E70" w:rsidR="006063BD" w:rsidRPr="006063BD" w:rsidRDefault="006063BD" w:rsidP="006063BD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EBH – szokásos felhasználásra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34D3B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H – szokásos felhasználásra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3163421D" w14:textId="47EC1E70" w:rsidR="006063BD" w:rsidRPr="006063BD" w:rsidRDefault="006063BD" w:rsidP="006063BD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EBH – szokásos felhasználásra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3F236" w14:textId="5F2FF335" w:rsidR="006063BD" w:rsidRDefault="006063BD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4D921697" wp14:editId="361207F9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79514246" name="Text Box 1" descr="EBH – szokásos felhasználásr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7D5224F" w14:textId="5692164D" w:rsidR="006063BD" w:rsidRPr="006063BD" w:rsidRDefault="006063BD" w:rsidP="006063BD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EBH – szokásos felhasználásra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92169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H – szokásos felhasználásra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7D5224F" w14:textId="5692164D" w:rsidR="006063BD" w:rsidRPr="006063BD" w:rsidRDefault="006063BD" w:rsidP="006063BD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EBH – szokásos felhasználásra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85394352">
    <w:abstractNumId w:val="1"/>
  </w:num>
  <w:num w:numId="2" w16cid:durableId="1923681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6063BD"/>
    <w:rsid w:val="003F18D7"/>
    <w:rsid w:val="00402ED1"/>
    <w:rsid w:val="00441DF2"/>
    <w:rsid w:val="004E4837"/>
    <w:rsid w:val="00546AF1"/>
    <w:rsid w:val="006063BD"/>
    <w:rsid w:val="00612ECC"/>
    <w:rsid w:val="00622D27"/>
    <w:rsid w:val="00631623"/>
    <w:rsid w:val="00771EE5"/>
    <w:rsid w:val="00905C84"/>
    <w:rsid w:val="0092685D"/>
    <w:rsid w:val="00942E49"/>
    <w:rsid w:val="009779CF"/>
    <w:rsid w:val="00A3732C"/>
    <w:rsid w:val="00A42F77"/>
    <w:rsid w:val="00A6002C"/>
    <w:rsid w:val="00A65C1A"/>
    <w:rsid w:val="00AB2952"/>
    <w:rsid w:val="00B71F25"/>
    <w:rsid w:val="00C13E1F"/>
    <w:rsid w:val="00D3100E"/>
    <w:rsid w:val="00E73D35"/>
    <w:rsid w:val="00EA7CD3"/>
    <w:rsid w:val="00EE75F2"/>
    <w:rsid w:val="00EF07A1"/>
    <w:rsid w:val="00F75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3B5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63BD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63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063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63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63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63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63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63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63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63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63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063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63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63B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63B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63B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63B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63B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63B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063B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063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63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063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063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063B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063B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063B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063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063B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063BD"/>
    <w:rPr>
      <w:b/>
      <w:bCs/>
      <w:smallCaps/>
      <w:color w:val="0F4761" w:themeColor="accent1" w:themeShade="BF"/>
      <w:spacing w:val="5"/>
    </w:rPr>
  </w:style>
  <w:style w:type="paragraph" w:customStyle="1" w:styleId="Instructionsberschrift2">
    <w:name w:val="Instructions Überschrift 2"/>
    <w:basedOn w:val="Heading2"/>
    <w:rsid w:val="006063BD"/>
    <w:pPr>
      <w:keepLines w:val="0"/>
      <w:numPr>
        <w:numId w:val="1"/>
      </w:numPr>
      <w:spacing w:before="240" w:after="240"/>
    </w:pPr>
    <w:rPr>
      <w:rFonts w:ascii="Verdana" w:eastAsia="Arial" w:hAnsi="Verdana" w:cs="Arial"/>
      <w:color w:val="auto"/>
      <w:sz w:val="20"/>
      <w:szCs w:val="24"/>
      <w:u w:val="single"/>
      <w:lang w:val="hu-HU" w:eastAsia="x-none"/>
    </w:rPr>
  </w:style>
  <w:style w:type="paragraph" w:customStyle="1" w:styleId="InstructionsText">
    <w:name w:val="Instructions Text"/>
    <w:basedOn w:val="Normal"/>
    <w:link w:val="InstructionsTextChar"/>
    <w:autoRedefine/>
    <w:rsid w:val="006063BD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Tabelleberschrift">
    <w:name w:val="Instructions Tabelle Überschrift"/>
    <w:qFormat/>
    <w:rsid w:val="006063BD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6063BD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6063BD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6063BD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customStyle="1" w:styleId="InstructionsText2">
    <w:name w:val="Instructions Text 2"/>
    <w:basedOn w:val="InstructionsText"/>
    <w:qFormat/>
    <w:rsid w:val="006063BD"/>
    <w:pPr>
      <w:numPr>
        <w:numId w:val="2"/>
      </w:numPr>
      <w:tabs>
        <w:tab w:val="num" w:pos="360"/>
      </w:tabs>
      <w:spacing w:after="240"/>
      <w:ind w:left="360" w:firstLine="0"/>
    </w:pPr>
  </w:style>
  <w:style w:type="paragraph" w:styleId="Header">
    <w:name w:val="header"/>
    <w:basedOn w:val="Normal"/>
    <w:link w:val="HeaderChar"/>
    <w:uiPriority w:val="99"/>
    <w:unhideWhenUsed/>
    <w:rsid w:val="006063BD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6063BD"/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Revision">
    <w:name w:val="Revision"/>
    <w:hidden/>
    <w:uiPriority w:val="99"/>
    <w:semiHidden/>
    <w:rsid w:val="00C13E1F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7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C6A4FE-11F0-45FF-812E-8BB2AD68D288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2.xml><?xml version="1.0" encoding="utf-8"?>
<ds:datastoreItem xmlns:ds="http://schemas.openxmlformats.org/officeDocument/2006/customXml" ds:itemID="{42A6F609-7473-47FD-9667-74B8ABDE25D6}"/>
</file>

<file path=customXml/itemProps3.xml><?xml version="1.0" encoding="utf-8"?>
<ds:datastoreItem xmlns:ds="http://schemas.openxmlformats.org/officeDocument/2006/customXml" ds:itemID="{E658C181-D3A8-4DAB-AD59-E6C451866B3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1728</Words>
  <Characters>9303</Characters>
  <Application>Microsoft Office Word</Application>
  <DocSecurity>0</DocSecurity>
  <Lines>221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2024-06-19T16:05:00Z</dcterms:created>
  <dcterms:modified xsi:type="dcterms:W3CDTF">2024-07-10T18:20:00Z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2024-07-10T18:20:55Z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384a7351-5fd1-44f6-b862-c171b1df6b48</vt:lpwstr>
  </property>
  <property fmtid="{D5CDD505-2E9C-101B-9397-08002B2CF9AE}" pid="9" name="MSIP_Label_6bd9ddd1-4d20-43f6-abfa-fc3c07406f94_ContentBits">
    <vt:lpwstr>0</vt:lpwstr>
  </property>
</Properties>
</file>